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4B1" w:rsidRPr="00DD2B04" w:rsidRDefault="00742103" w:rsidP="00DD2B04">
      <w:pPr>
        <w:ind w:firstLine="720"/>
        <w:jc w:val="both"/>
        <w:rPr>
          <w:rFonts w:cs="Times New Roman"/>
          <w:b/>
          <w:color w:val="000000" w:themeColor="text1"/>
          <w:sz w:val="28"/>
          <w:szCs w:val="28"/>
        </w:rPr>
      </w:pPr>
      <w:r w:rsidRPr="00DD2B04">
        <w:rPr>
          <w:rFonts w:cs="Times New Roman"/>
          <w:b/>
          <w:color w:val="000000" w:themeColor="text1"/>
          <w:sz w:val="28"/>
          <w:szCs w:val="28"/>
        </w:rPr>
        <w:t>BẢN TIN PHỔ BIẾN GIÁO DỤC PHÁP LUẬT TUẦN 16 NĂM 2024</w:t>
      </w:r>
    </w:p>
    <w:p w:rsidR="00DD2B04" w:rsidRPr="00DD2B04" w:rsidRDefault="00DD2B04" w:rsidP="00DD2B04">
      <w:pPr>
        <w:spacing w:after="0" w:line="360" w:lineRule="exact"/>
        <w:ind w:firstLine="720"/>
        <w:jc w:val="both"/>
        <w:rPr>
          <w:rFonts w:cs="Times New Roman"/>
          <w:b/>
          <w:color w:val="000000" w:themeColor="text1"/>
          <w:sz w:val="28"/>
          <w:szCs w:val="28"/>
        </w:rPr>
      </w:pPr>
      <w:r w:rsidRPr="00DD2B04">
        <w:rPr>
          <w:rFonts w:cs="Times New Roman"/>
          <w:b/>
          <w:color w:val="000000" w:themeColor="text1"/>
          <w:sz w:val="28"/>
          <w:szCs w:val="28"/>
        </w:rPr>
        <w:t>12 TRƯỜNG HỢP THẺ BHYT CÓ GIÁ TRỊ SỬ DỤNG NHƯNG KHÔNG ĐƯỢC THANH TOÁN</w:t>
      </w:r>
    </w:p>
    <w:p w:rsidR="00DD2B04" w:rsidRPr="00DD2B04" w:rsidRDefault="00DD2B04" w:rsidP="00DD2B04">
      <w:pPr>
        <w:pStyle w:val="Heading2"/>
        <w:shd w:val="clear" w:color="auto" w:fill="FFFFFF"/>
        <w:spacing w:before="0" w:line="360" w:lineRule="exact"/>
        <w:ind w:firstLine="720"/>
        <w:jc w:val="both"/>
        <w:rPr>
          <w:rFonts w:ascii="Times New Roman" w:hAnsi="Times New Roman" w:cs="Times New Roman"/>
          <w:color w:val="000000" w:themeColor="text1"/>
          <w:sz w:val="28"/>
          <w:szCs w:val="28"/>
        </w:rPr>
      </w:pPr>
      <w:r w:rsidRPr="00DD2B04">
        <w:rPr>
          <w:rStyle w:val="Strong"/>
          <w:rFonts w:ascii="Times New Roman" w:hAnsi="Times New Roman" w:cs="Times New Roman"/>
          <w:bCs w:val="0"/>
          <w:color w:val="000000" w:themeColor="text1"/>
          <w:sz w:val="28"/>
          <w:szCs w:val="28"/>
        </w:rPr>
        <w:t>1. Trường hợp nào thẻ BHYT không có giá trị sử dụng?</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Căn cứ khoản 4 Điều 16 </w:t>
      </w:r>
      <w:hyperlink r:id="rId4" w:tgtFrame="_blank" w:history="1">
        <w:r w:rsidRPr="00DD2B04">
          <w:rPr>
            <w:rStyle w:val="Hyperlink"/>
            <w:color w:val="000000" w:themeColor="text1"/>
            <w:sz w:val="28"/>
            <w:szCs w:val="28"/>
            <w:u w:val="none"/>
          </w:rPr>
          <w:t>Luật Bảo hiểm y tế 2008</w:t>
        </w:r>
      </w:hyperlink>
      <w:r w:rsidRPr="00DD2B04">
        <w:rPr>
          <w:color w:val="000000" w:themeColor="text1"/>
          <w:sz w:val="28"/>
          <w:szCs w:val="28"/>
        </w:rPr>
        <w:t> quy định thẻ bảo hiểm y tế không có giá trị sử dụng trong các trường hợp sau đây:</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Thẻ đã hết thời hạn sử dụng;</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Thẻ bị sửa chữa, tẩy xoá;</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Người có tên trong thẻ không tiếp tục tham gia bảo hiểm y tế.</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Như vậy, nếu người có thẻ BHYT sửa chữa, tẩy xóa thông tin trên thẻ hoặc không tiếp tục tham gia, không gia hạn thẻ BHYT thì thẻ này sẽ không có giá trị sử dụng.</w:t>
      </w:r>
    </w:p>
    <w:p w:rsidR="00DD2B04" w:rsidRPr="00DD2B04" w:rsidRDefault="00DD2B04" w:rsidP="00DD2B04">
      <w:pPr>
        <w:pStyle w:val="Heading2"/>
        <w:shd w:val="clear" w:color="auto" w:fill="FFFFFF"/>
        <w:spacing w:before="0" w:line="360" w:lineRule="exact"/>
        <w:ind w:firstLine="720"/>
        <w:jc w:val="both"/>
        <w:rPr>
          <w:rFonts w:ascii="Times New Roman" w:hAnsi="Times New Roman" w:cs="Times New Roman"/>
          <w:color w:val="000000" w:themeColor="text1"/>
          <w:sz w:val="28"/>
          <w:szCs w:val="28"/>
        </w:rPr>
      </w:pPr>
      <w:r w:rsidRPr="00DD2B04">
        <w:rPr>
          <w:rStyle w:val="Strong"/>
          <w:rFonts w:ascii="Times New Roman" w:hAnsi="Times New Roman" w:cs="Times New Roman"/>
          <w:bCs w:val="0"/>
          <w:color w:val="000000" w:themeColor="text1"/>
          <w:sz w:val="28"/>
          <w:szCs w:val="28"/>
        </w:rPr>
        <w:t>2. 12 trường hợp thẻ BHYT có giá trị sử dụng nhưng không được thanh toán</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Theo Điều 23 </w:t>
      </w:r>
      <w:hyperlink r:id="rId5" w:tgtFrame="_blank" w:history="1">
        <w:r w:rsidRPr="00DD2B04">
          <w:rPr>
            <w:rStyle w:val="Hyperlink"/>
            <w:color w:val="000000" w:themeColor="text1"/>
            <w:sz w:val="28"/>
            <w:szCs w:val="28"/>
            <w:u w:val="none"/>
          </w:rPr>
          <w:t>Luật Bảo hiểm y tế năm 2008</w:t>
        </w:r>
      </w:hyperlink>
      <w:r w:rsidRPr="00DD2B04">
        <w:rPr>
          <w:color w:val="000000" w:themeColor="text1"/>
          <w:sz w:val="28"/>
          <w:szCs w:val="28"/>
        </w:rPr>
        <w:t> (sửa đổi, bổ sung </w:t>
      </w:r>
      <w:hyperlink r:id="rId6" w:tgtFrame="_blank" w:history="1">
        <w:r w:rsidRPr="00DD2B04">
          <w:rPr>
            <w:rStyle w:val="Hyperlink"/>
            <w:color w:val="000000" w:themeColor="text1"/>
            <w:sz w:val="28"/>
            <w:szCs w:val="28"/>
            <w:u w:val="none"/>
          </w:rPr>
          <w:t>năm 2014</w:t>
        </w:r>
      </w:hyperlink>
      <w:r w:rsidRPr="00DD2B04">
        <w:rPr>
          <w:color w:val="000000" w:themeColor="text1"/>
          <w:sz w:val="28"/>
          <w:szCs w:val="28"/>
        </w:rPr>
        <w:t>) quy định các trường hợp không được hưởng bảo hiểm y tế bao gồm:</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Chi phí trong trường hợp quy định tại khoản 1 Điều 21 </w:t>
      </w:r>
      <w:hyperlink r:id="rId7" w:tgtFrame="_blank" w:history="1">
        <w:r w:rsidRPr="00DD2B04">
          <w:rPr>
            <w:rStyle w:val="Hyperlink"/>
            <w:color w:val="000000" w:themeColor="text1"/>
            <w:sz w:val="28"/>
            <w:szCs w:val="28"/>
            <w:u w:val="none"/>
          </w:rPr>
          <w:t>Luật Bảo hiểm y tế năm 2008</w:t>
        </w:r>
      </w:hyperlink>
      <w:r w:rsidRPr="00DD2B04">
        <w:rPr>
          <w:color w:val="000000" w:themeColor="text1"/>
          <w:sz w:val="28"/>
          <w:szCs w:val="28"/>
        </w:rPr>
        <w:t> (sửa đổi, bổ sung </w:t>
      </w:r>
      <w:hyperlink r:id="rId8" w:tgtFrame="_blank" w:history="1">
        <w:r w:rsidRPr="00DD2B04">
          <w:rPr>
            <w:rStyle w:val="Hyperlink"/>
            <w:color w:val="000000" w:themeColor="text1"/>
            <w:sz w:val="28"/>
            <w:szCs w:val="28"/>
            <w:u w:val="none"/>
          </w:rPr>
          <w:t>năm 2014</w:t>
        </w:r>
      </w:hyperlink>
      <w:r w:rsidRPr="00DD2B04">
        <w:rPr>
          <w:color w:val="000000" w:themeColor="text1"/>
          <w:sz w:val="28"/>
          <w:szCs w:val="28"/>
        </w:rPr>
        <w:t>) đã được ngân sách nhà nước chi trả.</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Điều dưỡng, an dưỡng tại cơ sở điều dưỡng, an dưỡng.</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Khám sức khỏe.</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Xét nghiệm, chẩn đoán thai không nhằm mục đích điều trị.</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Sử dụng kỹ thuật hỗ trợ sinh sản, dịch vụ kế hoạch hóa gia đình, nạo hút thai, phá thai, trừ trường hợp phải đình chỉ thai nghén do nguyên nhân bệnh lý của thai nhi hay của sản phụ.</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Sử dụng dịch vụ thẩm mỹ.</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Điều trị lác, cận thị và tật khúc xạ của mắt, trừ trường hợp trẻ em dưới 6 tuổi.</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Sử dụng vật tư y tế thay thế bao gồm chân tay giả, mắt giả, răng giả, kính mắt, máy trợ thính, phương tiện trợ giúp vận động trong khám bệnh, chữa bệnh và phục hồi chức năng.</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Khám bệnh, chữa bệnh, phục hồi chức năng trong trường hợp thảm họa.</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Khám bệnh, chữa bệnh nghiện ma túy, nghiện rượu hoặc chất gây nghiện khác.</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Giám định y khoa, giám định pháp y, giám định pháp y tâm thần.</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 Tham gia thử nghiệm lâm sàng, nghiên cứu khoa học.</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Như vậy, ngay cả khi thẻ BHYT còn giá trị sử dụng nhưng thuộc 12 trường hợp khám chữa bệnh nêu trên thì không được Quỹ BHYT thanh toán chi phí khám chữa bệnh.</w:t>
      </w:r>
    </w:p>
    <w:p w:rsidR="00DD2B04" w:rsidRPr="00DD2B04" w:rsidRDefault="00DD2B04" w:rsidP="00DD2B04">
      <w:pPr>
        <w:pStyle w:val="Heading2"/>
        <w:shd w:val="clear" w:color="auto" w:fill="FFFFFF"/>
        <w:spacing w:before="0" w:line="360" w:lineRule="exact"/>
        <w:ind w:firstLine="720"/>
        <w:jc w:val="both"/>
        <w:rPr>
          <w:rFonts w:ascii="Times New Roman" w:hAnsi="Times New Roman" w:cs="Times New Roman"/>
          <w:color w:val="000000" w:themeColor="text1"/>
          <w:sz w:val="28"/>
          <w:szCs w:val="28"/>
        </w:rPr>
      </w:pPr>
      <w:r w:rsidRPr="00DD2B04">
        <w:rPr>
          <w:rStyle w:val="Strong"/>
          <w:rFonts w:ascii="Times New Roman" w:hAnsi="Times New Roman" w:cs="Times New Roman"/>
          <w:bCs w:val="0"/>
          <w:color w:val="000000" w:themeColor="text1"/>
          <w:sz w:val="28"/>
          <w:szCs w:val="28"/>
        </w:rPr>
        <w:lastRenderedPageBreak/>
        <w:t>3. Đang nằm viện mà thẻ BHYT hết hạn có được hưởng tiếp BHYT?</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Theo quy định tại mục 1, một trong các trường hợp thẻ BHYT không có giá trị sử dụng là thẻ đã hết thời hạn sử dụng.</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Tuy nhiên, để tạo điều kiện cho người tham gia BHYT thì vẫn có trường hợp thẻ BHYT đã hết hạn nhưng người bệnh vẫn được hưởng các quyền lợi về BHYT. </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Theo đó, tại khoản 9 Điều 27 </w:t>
      </w:r>
      <w:hyperlink r:id="rId9" w:tgtFrame="_blank" w:history="1">
        <w:r w:rsidRPr="00DD2B04">
          <w:rPr>
            <w:rStyle w:val="Hyperlink"/>
            <w:color w:val="000000" w:themeColor="text1"/>
            <w:sz w:val="28"/>
            <w:szCs w:val="28"/>
            <w:u w:val="none"/>
          </w:rPr>
          <w:t>Nghị định 146/2018/NĐ-CP</w:t>
        </w:r>
      </w:hyperlink>
      <w:r w:rsidRPr="00DD2B04">
        <w:rPr>
          <w:color w:val="000000" w:themeColor="text1"/>
          <w:sz w:val="28"/>
          <w:szCs w:val="28"/>
        </w:rPr>
        <w:t> như sau:</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Trường hợp người có thẻ bảo hiểm y tế đang điều trị nội trú tại cơ sở khám bệnh, chữa bệnh nhưng thẻ bảo hiểm y tế hết hạn sử dụng thì được quỹ bảo hiểm y tế thanh toán chi phí khám bệnh, chữa bệnh trong phạm vi được hưởng và mức hưởng cho đến khi ra viện nhưng tối đa không vượt quá 15 ngày kể từ ngày thẻ bảo hiểm y tế hết hạn sử dụng. </w:t>
      </w:r>
    </w:p>
    <w:p w:rsidR="00DD2B04" w:rsidRPr="00DD2B04" w:rsidRDefault="00DD2B04" w:rsidP="00DD2B04">
      <w:pPr>
        <w:pStyle w:val="NormalWeb"/>
        <w:shd w:val="clear" w:color="auto" w:fill="FFFFFF"/>
        <w:spacing w:before="0" w:beforeAutospacing="0" w:after="0" w:afterAutospacing="0" w:line="360" w:lineRule="exact"/>
        <w:ind w:firstLine="720"/>
        <w:jc w:val="both"/>
        <w:rPr>
          <w:color w:val="000000" w:themeColor="text1"/>
          <w:sz w:val="28"/>
          <w:szCs w:val="28"/>
        </w:rPr>
      </w:pPr>
      <w:r w:rsidRPr="00DD2B04">
        <w:rPr>
          <w:color w:val="000000" w:themeColor="text1"/>
          <w:sz w:val="28"/>
          <w:szCs w:val="28"/>
        </w:rPr>
        <w:t>Cơ sở khám bệnh, chữa bệnh có trách nhiệm thông báo cho người bệnh và cơ quan bảo hiểm xã hội nơi ký hợp đồng khám bệnh, chữa bệnh bảo hiểm y tế với cơ sở khám bệnh, chữa bệnh để người bệnh tiếp tục tham gia bảo hiểm y tế, cơ quan bảo hiểm xã hội thực hiện việc cấp hoặc gia hạn thẻ bảo hiểm y tế cho người bệnh trong thời gian đang điều trị tại cơ sở khám bệnh, chữa bệnh.</w:t>
      </w:r>
    </w:p>
    <w:p w:rsidR="00DD2B04" w:rsidRPr="00DD2B04" w:rsidRDefault="00DD2B04" w:rsidP="00DD2B04">
      <w:pPr>
        <w:pStyle w:val="NormalWeb"/>
        <w:shd w:val="clear" w:color="auto" w:fill="FFFFFF"/>
        <w:spacing w:before="0" w:beforeAutospacing="0" w:after="0" w:afterAutospacing="0" w:line="360" w:lineRule="exact"/>
        <w:jc w:val="both"/>
        <w:rPr>
          <w:color w:val="000000" w:themeColor="text1"/>
          <w:sz w:val="28"/>
          <w:szCs w:val="28"/>
        </w:rPr>
      </w:pPr>
      <w:r w:rsidRPr="00DD2B04">
        <w:rPr>
          <w:color w:val="000000" w:themeColor="text1"/>
          <w:sz w:val="28"/>
          <w:szCs w:val="28"/>
        </w:rPr>
        <w:t>Như vậy, nếu người bệnh đang nằm viện mà thẻ BHYT hết hạn thì tiếp tục được hưởng các quyền lợi về BHYT đến khi ra viện nhưng không</w:t>
      </w:r>
      <w:bookmarkStart w:id="0" w:name="_GoBack"/>
      <w:bookmarkEnd w:id="0"/>
      <w:r w:rsidRPr="00DD2B04">
        <w:rPr>
          <w:color w:val="000000" w:themeColor="text1"/>
          <w:sz w:val="28"/>
          <w:szCs w:val="28"/>
        </w:rPr>
        <w:t xml:space="preserve"> quá 15 ngày kể từ ngày thẻ hết hạn.</w:t>
      </w:r>
    </w:p>
    <w:p w:rsidR="00DD2B04" w:rsidRPr="00DD2B04" w:rsidRDefault="00DD2B04" w:rsidP="00DD2B04">
      <w:pPr>
        <w:spacing w:after="0" w:line="360" w:lineRule="exact"/>
        <w:jc w:val="both"/>
        <w:rPr>
          <w:rFonts w:cs="Times New Roman"/>
          <w:b/>
          <w:color w:val="000000" w:themeColor="text1"/>
          <w:sz w:val="28"/>
          <w:szCs w:val="28"/>
        </w:rPr>
      </w:pPr>
    </w:p>
    <w:sectPr w:rsidR="00DD2B04" w:rsidRPr="00DD2B04"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03"/>
    <w:rsid w:val="001B2E4C"/>
    <w:rsid w:val="00742103"/>
    <w:rsid w:val="00DD2B04"/>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8B82"/>
  <w15:chartTrackingRefBased/>
  <w15:docId w15:val="{081309DC-7EAB-4AF0-9F85-309EE8F3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D2B0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2B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B04"/>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DD2B0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D2B04"/>
    <w:rPr>
      <w:b/>
      <w:bCs/>
    </w:rPr>
  </w:style>
  <w:style w:type="paragraph" w:styleId="NormalWeb">
    <w:name w:val="Normal (Web)"/>
    <w:basedOn w:val="Normal"/>
    <w:uiPriority w:val="99"/>
    <w:semiHidden/>
    <w:unhideWhenUsed/>
    <w:rsid w:val="00DD2B0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D2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7243">
      <w:bodyDiv w:val="1"/>
      <w:marLeft w:val="0"/>
      <w:marRight w:val="0"/>
      <w:marTop w:val="0"/>
      <w:marBottom w:val="0"/>
      <w:divBdr>
        <w:top w:val="none" w:sz="0" w:space="0" w:color="auto"/>
        <w:left w:val="none" w:sz="0" w:space="0" w:color="auto"/>
        <w:bottom w:val="none" w:sz="0" w:space="0" w:color="auto"/>
        <w:right w:val="none" w:sz="0" w:space="0" w:color="auto"/>
      </w:divBdr>
    </w:div>
    <w:div w:id="5541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Luat-Bao-hiem-y-te-sua-doi-2014-238506.aspx" TargetMode="External"/><Relationship Id="rId3" Type="http://schemas.openxmlformats.org/officeDocument/2006/relationships/webSettings" Target="webSettings.xml"/><Relationship Id="rId7" Type="http://schemas.openxmlformats.org/officeDocument/2006/relationships/hyperlink" Target="https://thuvienphapluat.vn/van-ban/Bao-hiem/Luat-bao-hiem-y-te-2008-25-2008-QH12-82196.aspx?anchor=dieu_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o-hiem/Luat-Bao-hiem-y-te-sua-doi-2014-238506.aspx" TargetMode="External"/><Relationship Id="rId11" Type="http://schemas.openxmlformats.org/officeDocument/2006/relationships/theme" Target="theme/theme1.xml"/><Relationship Id="rId5" Type="http://schemas.openxmlformats.org/officeDocument/2006/relationships/hyperlink" Target="https://thuvienphapluat.vn/van-ban/Bao-hiem/Luat-bao-hiem-y-te-2008-25-2008-QH12-82196.aspx?anchor=dieu_23" TargetMode="External"/><Relationship Id="rId10" Type="http://schemas.openxmlformats.org/officeDocument/2006/relationships/fontTable" Target="fontTable.xml"/><Relationship Id="rId4" Type="http://schemas.openxmlformats.org/officeDocument/2006/relationships/hyperlink" Target="https://thuvienphapluat.vn/van-ban/Bao-hiem/Luat-bao-hiem-y-te-2008-25-2008-QH12-82196.aspx?anchor=dieu_16" TargetMode="External"/><Relationship Id="rId9" Type="http://schemas.openxmlformats.org/officeDocument/2006/relationships/hyperlink" Target="https://thuvienphapluat.vn/van-ban/The-thao-Y-te/Nghi-dinh-146-2018-ND-CP-huong-dan-Luat-bao-hiem-y-te-357505.aspx?anchor=dieu_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2024-04-16T07:14:00Z</dcterms:created>
  <dcterms:modified xsi:type="dcterms:W3CDTF">2024-04-17T03:42:00Z</dcterms:modified>
</cp:coreProperties>
</file>